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4"/>
        <w:gridCol w:w="1599"/>
        <w:gridCol w:w="4052"/>
      </w:tblGrid>
      <w:tr w:rsidR="00A45FA3" w:rsidTr="009A29A8">
        <w:trPr>
          <w:trHeight w:val="156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A3" w:rsidRDefault="00A45FA3" w:rsidP="009A29A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СОБРАНИЕ ДЕПУТАТОВ ХАРБИНСКОГО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A45FA3" w:rsidRDefault="00A45FA3" w:rsidP="009A29A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A45FA3" w:rsidRDefault="00A45FA3" w:rsidP="009A29A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FA3" w:rsidRDefault="00A45FA3" w:rsidP="009A29A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A3" w:rsidRDefault="00A45FA3" w:rsidP="009A29A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A45FA3" w:rsidRDefault="00A45FA3" w:rsidP="009A29A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A45FA3" w:rsidRDefault="00A45FA3" w:rsidP="009A29A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A45FA3" w:rsidRDefault="00A45FA3" w:rsidP="009A29A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A45FA3" w:rsidRDefault="00A45FA3" w:rsidP="00A45FA3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359315,Республика Калмыкия, </w:t>
      </w:r>
      <w:proofErr w:type="spellStart"/>
      <w:r>
        <w:rPr>
          <w:rFonts w:ascii="Times New Roman" w:hAnsi="Times New Roman"/>
          <w:sz w:val="18"/>
          <w:szCs w:val="18"/>
        </w:rPr>
        <w:t>Юстинский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 район,  </w:t>
      </w:r>
      <w:proofErr w:type="spellStart"/>
      <w:r>
        <w:rPr>
          <w:rFonts w:ascii="Times New Roman" w:hAnsi="Times New Roman"/>
          <w:sz w:val="18"/>
          <w:szCs w:val="18"/>
        </w:rPr>
        <w:t>п</w:t>
      </w:r>
      <w:proofErr w:type="gramStart"/>
      <w:r>
        <w:rPr>
          <w:rFonts w:ascii="Times New Roman" w:hAnsi="Times New Roman"/>
          <w:sz w:val="18"/>
          <w:szCs w:val="18"/>
        </w:rPr>
        <w:t>.Х</w:t>
      </w:r>
      <w:proofErr w:type="gramEnd"/>
      <w:r>
        <w:rPr>
          <w:rFonts w:ascii="Times New Roman" w:hAnsi="Times New Roman"/>
          <w:sz w:val="18"/>
          <w:szCs w:val="18"/>
        </w:rPr>
        <w:t>арба</w:t>
      </w:r>
      <w:proofErr w:type="spellEnd"/>
      <w:r>
        <w:rPr>
          <w:rFonts w:ascii="Times New Roman" w:hAnsi="Times New Roman"/>
          <w:sz w:val="18"/>
          <w:szCs w:val="18"/>
        </w:rPr>
        <w:t xml:space="preserve"> ул.Партизанская 4 </w:t>
      </w:r>
    </w:p>
    <w:p w:rsidR="00A45FA3" w:rsidRDefault="00A45FA3" w:rsidP="00A4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15.04.2024                                          №87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.Х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арба</w:t>
      </w:r>
      <w:proofErr w:type="spellEnd"/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Об утверждении  </w:t>
      </w:r>
      <w:proofErr w:type="gram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Положение</w:t>
      </w:r>
      <w:proofErr w:type="gram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о Порядке</w:t>
      </w:r>
    </w:p>
    <w:p w:rsidR="00A45FA3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И </w:t>
      </w:r>
      <w:proofErr w:type="gram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приватизации муниципального имущества</w:t>
      </w:r>
    </w:p>
    <w:p w:rsidR="00A45FA3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</w:t>
      </w:r>
    </w:p>
    <w:p w:rsidR="00A45FA3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Республики Калмыкия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В соответствии с Федеральными законами 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 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Уставом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Калмыкия, п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ротестом прокуратуры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proofErr w:type="gram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района от 09.04.2024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№ </w:t>
      </w: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7-29-2024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,  Собрание депутатов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решило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 Утвердить Положение о Порядке и условиях приватизации муниципального</w:t>
      </w: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имущества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</w:t>
      </w:r>
      <w:proofErr w:type="gram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</w:t>
      </w:r>
      <w:proofErr w:type="gram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согласно приложение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).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. Разместить в сети «Интернет» на  сайте Администрации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 Решение вступает в силу со дня его опубликования.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Муниципального образования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Республики Калмыкия                                                            Китаева Л.Б.</w:t>
      </w: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Pr="00DD4548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</w:pPr>
      <w:r w:rsidRPr="00DD4548"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>Харбинского</w:t>
      </w:r>
      <w:r w:rsidRPr="00DD4548"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>сельского</w:t>
      </w:r>
      <w:proofErr w:type="spellEnd"/>
    </w:p>
    <w:p w:rsidR="00A45FA3" w:rsidRPr="00DD4548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</w:pPr>
      <w:r w:rsidRPr="00DD4548"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>муниципального образования</w:t>
      </w:r>
    </w:p>
    <w:p w:rsidR="00A45FA3" w:rsidRPr="00DD4548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DD4548"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>Республики Калмыки</w:t>
      </w:r>
      <w:proofErr w:type="gramStart"/>
      <w:r w:rsidRPr="00DD4548"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>я(</w:t>
      </w:r>
      <w:proofErr w:type="spellStart"/>
      <w:proofErr w:type="gramEnd"/>
      <w:r w:rsidRPr="00DD4548"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>ахлачи</w:t>
      </w:r>
      <w:proofErr w:type="spellEnd"/>
      <w:r w:rsidRPr="00DD4548"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 xml:space="preserve">)                                     </w:t>
      </w:r>
      <w:r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 xml:space="preserve">         </w:t>
      </w:r>
      <w:r w:rsidRPr="00DD4548"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 xml:space="preserve">  </w:t>
      </w:r>
      <w:proofErr w:type="spellStart"/>
      <w:r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>Мухараева</w:t>
      </w:r>
      <w:proofErr w:type="spellEnd"/>
      <w:r>
        <w:rPr>
          <w:rFonts w:ascii="Verdana" w:eastAsia="Times New Roman" w:hAnsi="Verdana" w:cs="Times New Roman"/>
          <w:bCs/>
          <w:color w:val="292D24"/>
          <w:sz w:val="20"/>
          <w:szCs w:val="20"/>
          <w:lang w:eastAsia="ru-RU"/>
        </w:rPr>
        <w:t xml:space="preserve"> Т.М.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right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right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right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right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Утверждено</w:t>
      </w:r>
    </w:p>
    <w:p w:rsidR="00A45FA3" w:rsidRDefault="00A45FA3" w:rsidP="00A45FA3">
      <w:pPr>
        <w:shd w:val="clear" w:color="auto" w:fill="F8FAFB"/>
        <w:spacing w:after="0" w:line="240" w:lineRule="atLeast"/>
        <w:jc w:val="right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Решением СД </w:t>
      </w:r>
      <w:proofErr w:type="spellStart"/>
      <w:r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СМО РК</w:t>
      </w:r>
    </w:p>
    <w:p w:rsidR="00A45FA3" w:rsidRDefault="00A45FA3" w:rsidP="00A45FA3">
      <w:pPr>
        <w:shd w:val="clear" w:color="auto" w:fill="F8FAFB"/>
        <w:spacing w:after="0" w:line="240" w:lineRule="atLeast"/>
        <w:jc w:val="right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от «15»апреля 2024г.№87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ПОЛОЖЕНИЕ</w:t>
      </w:r>
    </w:p>
    <w:p w:rsidR="00A45FA3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О ПОРЯДКЕ И УСЛОВИЯХ ПРИВАТИЗАЦИИ МУНИЦИПАЛЬНОГО ИМУЩЕСТВА </w:t>
      </w:r>
    </w:p>
    <w:p w:rsidR="00A45FA3" w:rsidRPr="008F1ABA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  <w:t>Харбинского</w:t>
      </w:r>
      <w:proofErr w:type="spellEnd"/>
      <w:r w:rsidRPr="008F1ABA"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Республика Калмыкия</w:t>
      </w:r>
    </w:p>
    <w:p w:rsidR="00A45FA3" w:rsidRPr="008F1ABA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</w:p>
    <w:p w:rsidR="00A45FA3" w:rsidRPr="008F1ABA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1. ОБЩИЕ ПОЛОЖЕНИЯ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1.1.Настоящее Положение о порядке и условиях приватизации муниципального имущества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</w:t>
      </w:r>
      <w:proofErr w:type="gram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далее – Положение) разработано в соответствии с Гражданским </w:t>
      </w:r>
      <w:hyperlink r:id="rId5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кодексом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Российской Федерации, Федеральным </w:t>
      </w:r>
      <w:hyperlink r:id="rId6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законом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от 21.12.2001 N178-ФЗ "О приватизации государственного и муниципального имущества", Федеральным </w:t>
      </w:r>
      <w:hyperlink r:id="rId7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законом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8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законом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от 29.07.1998 N 135-ФЗ "Об оценочной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деятельности в Российской Федерации", </w:t>
      </w:r>
      <w:hyperlink r:id="rId9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постановлением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Правительства РФ от 12.08.2002 N 584 "Об утверждении Положения о проведении конкурса по продаже государственного или муниципального имущества", </w:t>
      </w:r>
      <w:hyperlink r:id="rId10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постановлением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",  </w:t>
      </w:r>
      <w:hyperlink r:id="rId11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Уставом</w:t>
        </w:r>
      </w:hyperlink>
      <w:r>
        <w:t xml:space="preserve">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1.2. Настоящее Положение регулирует отношения, возникающие при приватизации муниципального имущества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</w:t>
      </w:r>
      <w:proofErr w:type="gram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далее – муниципальное имущество) и связанные с ними отношения по управлению муниципальным имуществом.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Действие настоящего Положения не распространяется на отношения, возникающие при отчуждении: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природных ресурсов;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муниципального жилищного фонда;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муниципального имущества, находящегося за пределами территории Российской Федерации;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муниципального имущества в случаях, предусмотренных международными договорами Российской Федерации;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9) муниципального имущества на основании судебного решения;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1.3.Под приватизацией муниципального имущества понимается возмездное отчуждение имущества, находящегося в собственности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</w:t>
      </w:r>
      <w:proofErr w:type="gram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далее - муниципальное имущество), в собственность физических и (или) юридических лиц.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1.5.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статьей 25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Федерального закона от 21.12.2001 N178-ФЗ "О приватизации государственного и муниципального имущества".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2.ОСНОВНЫЕ ЦЕЛИ И НАПРАВЛЕНИЯ ПРИВАТИЗАЦИИ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2.1. Основные цели приватизации: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повышение эффективности использования муниципального имущества;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поступление дополнительных финансовых сре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дств в б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юджет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2.2. Основные направления приватизации: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- выявление и приватизация неиспользуемых и убыточных объектов на территории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</w:t>
      </w:r>
      <w:proofErr w:type="gram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том числе объектов незавершенного строительства);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- участие в управлении и защита интересов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хозяйствующих субъектах, в уставных капиталах которых имеется вклад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- освобождение от непрофильного имущества, обремененного содержанием за счет средств бюджета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3.КОМПЕТЕНЦИЯ ОРГАНОВ МЕСТНОГО САМОУПРАВЛЕНИЯ В СФЕРЕ ПРИВАТИЗАЦИИ МУНИЦИПАЛЬНОГО ИМУЩЕСТВА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3.1. К компетенции Собрания депутатов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относится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1) утверждение прогнозного плана (программы) приватизации муниципального имущества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</w:t>
      </w:r>
      <w:proofErr w:type="gram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(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далее по тексту – Программа приватизации);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2) осуществление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контроля за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выполнением Администрацией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 настоящего Положения и Программы приватизации;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3.2. К компетенции Администрации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относится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 xml:space="preserve">1) разработка и внесение на рассмотрение Собрания депутатов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проекта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Программы приватизации;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принятие решений об условиях приватизации (изменении или отмене условий приватизации);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3) утверждение состава комиссии по проведению приватизации муниципального имущества муниципального образования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«(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далее – Комиссия);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утверждение условий торгов по продаже муниципального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установление срока рассрочки оплаты муниципального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7) определение начальной цены приватизируемого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8) организационное обеспечение деятельности по приватизации муниципального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9) информационное обеспечение приватизации муниципального имущества.</w:t>
      </w:r>
    </w:p>
    <w:p w:rsidR="00A45FA3" w:rsidRPr="007021BB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4. КОМИССИЯ ПО ПРОВЕДЕНИЮ ПРИВАТИЗАЦИИ МУНИЦИПАЛЬНОГО ИМУЩЕСТВА </w:t>
      </w:r>
      <w:proofErr w:type="spellStart"/>
      <w:r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  <w:t>Харбинского</w:t>
      </w:r>
      <w:proofErr w:type="spellEnd"/>
      <w:r w:rsidRPr="007021BB"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утверждается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состав Комиссии.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4.4. К компетенции Комиссии относятся: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осуществление приема и регистрации заявок покупателей муниципального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определение победителя торгов и оформление протокола об итогах торгов;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5) осуществление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контроля за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приватизацией муниципального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5. СУБЪЕКТЫ И ОБЪЕКТЫ ПРИВАТИЗАЦИИ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5.1. Субъектами приватизации в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Харбинском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сельском муниципальном образовании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являются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1) собственник, в отношении имущества которого может быть принято решение о приватизации, -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Юстинское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сельское муниципальное образование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2) продавец – Администрация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покупатель - лицо, признанное покупателем муниципального имущества в соответствии со </w:t>
      </w:r>
      <w:hyperlink r:id="rId13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статьей 5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Федерального закона от 21.12.2001 N178-ФЗ "О приватизации государственного и муниципального имущества".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5.2. Объектами приватизации муниципального имущества являются: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имущественный комплекс муниципального предприятия;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4) являющиеся муниципальной собственностью акции, доли в уставном капитале хозяйствующих субъектов;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иное имущество, отчуждение которого производится в соответствии с законодательством о приватизации.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5.3. Основанием для принятия решения о приватизации объектов муниципальной собственности может являться: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необходимость вложения значительных сре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дств в р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емонт или восстановление объекта;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отсутствие прибыли по итогам не менее чем двух предыдущих лет;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отсутствие сре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дств дл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я развития производства;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6. ПЛАНИРОВАНИЕ ПРИВАТИЗАЦИИ МУНИЦИПАЛЬНОГО ИМУЩЕСТВА</w:t>
      </w:r>
    </w:p>
    <w:p w:rsidR="00A45FA3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6.1. Планирование приватизации муниципального имущества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осуществляется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путем разработки прогнозного плана (программы) приватизации муниципального имущества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,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который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ежегодно утверждается Собранием депутатов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Прогнозный план (программа) приватизации включает: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proofErr w:type="gram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,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ного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имущества, составляющего казну муниципального образования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Калмыкия,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указанием характеристики соответствующего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-сведения об акционерных обществах и обществах с ограниченной ответственностью, акции,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доли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 уставных капиталах которых в соответствии с решениями органов местного самоуправления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подлежат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внесению в уставный капитал иных акционерных обществ;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-сведения об ином имуществе, составляющем казну муниципального образования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, которое подлежит внесению в уставный капитал акционерных обществ;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-прогноз объемов поступлений в бюджет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 6.2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.При включении муниципального имущества в соответствующие перечни указываются: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а) для муниципальных унитарных предприятий - наименование и место нахождения;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б) для акций акционерных обществ, находящихся в муниципальной собственности: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-наименование и место нахождения акционерного общества;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-доля и количество акций, подлежащих приватизации;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-наименование и место нахождения общества с ограниченной ответственностью;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г) 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 6.3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 Программа приватизации утверждается не позднее 10 рабочих дней до начала планового периода.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   6.4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.Внесение изменений в программу приватизации в текущем финансовом году осуществляется путем внесения Главой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соответствующего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проекта решения Собрания депутатов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, подготовленного с соблюдением требований пунктов 2 и 3 настоящей статьи.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   </w:t>
      </w:r>
      <w:proofErr w:type="gram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6.5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на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официальном сайте Администрации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7. ПОРЯДОК ПРИНЯТИЯ РЕШЕНИЙ ОБ УСЛОВИЯХ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ПРИВАТИЗАЦИИ МУНИЦИПАЛЬНОГО ИМУЩЕСТВА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 путем издания постановления Администрации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7.2.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В соответствии с утвержденной Собранием депутатов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Программой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приватизации постановление Администрации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об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условиях приватизации муниципального имущества должно содержать: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наименование имущества и иные позволяющие его индивидуализировать данные (характеристика объекта);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способ приватизации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3) начальную цену;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срок рассрочки платежа (в случае ее предоставления);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состав комиссии по проведению приватизации;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6) иные необходимые для приватизации имущества сведения.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7.3. В случае приватизации имущественного комплекса унитарного предприятия постановлением Администрации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об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условиях приватизации муниципального имущества также утверждается: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4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закона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от 21.12.2001г. N178-ФЗ «О приватизации государственного и муниципального имущества»;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создаваемых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посредством преобразования унитарного предприятия;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8. ИНФОРМАЦИОННОЕ ОБЕСПЕЧЕНИЕ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ПРИВАТИЗАЦИИ МУНИЦИПАЛЬНОГО ИМУЩЕСТВА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способ приватизации такого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начальная цена продажи такого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форма подачи предложений о цене такого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6) условия и сроки платежа, необходимые реквизиты счетов;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7) размер задатка, срок и порядок его внесения, необходимые реквизиты счетов;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8) порядок, место, даты начала и окончания подачи заявок, предложений;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9) исчерпывающий перечень представляемых покупателями документов;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10) срок заключения договора купли-продажи такого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13)порядок определения победителей (при проведен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ии ау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кциона, специализированного аукциона, конкурса) либо лиц, имеющих право приобретения 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муниципального имущества (при проведении его продажи посредством публичного предложения и без объявления цены);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14) место и срок подведения итогов продажи муниципального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дата и место проведения торгов;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наименование продавца такого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количество поданных заявок;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лица, признанные участниками торгов;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6) цена сделки приватизации;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7) имя физического лица или наименование юридического лица - покупателя.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9. СПОСОБЫ ПРИВАТИЗАЦИИ МУНИЦИПАЛЬНОГО ИМУЩЕСТВА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9.1. Способы приватизации муниципального имущества: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преобразование унитарного предприятия в открытое акционерное общество;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продажа муниципального имущества на аукционе;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продажа муниципального имущества на конкурсе;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продажа муниципального имущества посредством публичного предложения;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продажа муниципального имущества без объявления цены;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внесение муниципального имущества в качестве вклада в уставные капиталы открытых акционерных обществ;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продажа муниципального имущества иным способом, установленным Федеральным </w:t>
      </w:r>
      <w:hyperlink r:id="rId15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законом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от 21.12.2001г. N178-ФЗ «О приватизации государственного и муниципального имущества».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9.2. Продажа муниципального имущества на конкурсе.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отношении такого имущества его покупателю необходимо выполнить определенные условия.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Конкурс, в котором принял участие только один участник, признается несостоявшимся.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9.2.1. Порядок подготовки и условия конкурса.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Продавец при проведении конкурса создает Комиссию.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Условия конкурса подлежат опубликованию в информационном сообщен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ии о е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го проведении не менее чем за 30 дней до дня осуществления продажи.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3) При продаже имущества, находящегося в муниципальной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собственности, публикуемые в информационном сообщении условия конкурса разрабатываются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и утверждаются Администрацией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7) Документом, подтверждающим поступление задатка на счет продавца, является выписка со счета продавца.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9.2.2. Порядок проведения конкурса и оформление его результатов.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было отказано в допуске к участию в конкурсе, с указанием оснований такого отказа.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При наличии оснований для признания конкурса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несостоявшимся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продавец принимает соответствующее решение, которое отражает в протоколе приема заявок.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Предложения, содержащие цену ниже начальной цены, не рассматриваются.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 даты утверждения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протокола об итогах конкурса в соответствии с действующим законодательством.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10) Для обеспечения эффективного контроля исполнения условий конкурса продавец обязан: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вести учет договоров купли-продажи имущества, заключенных по результатам конкурса;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принимать от победителей конкурса отчетные документы, подтверждающие выполнение условий конкурса;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В течение 10 рабочих дней с даты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истечения срока выполнения условий конкурса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конкурса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на основании представленного победителем конкурса сводного (итогового) отчета.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Указанная проверка проводится Комиссией.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13) Комиссия осуществляет проверку выполнения условий конкурса в целом.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г. N178-ФЗ «О приватизации государственного и муниципального имущества».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письменными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директивам Администрации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6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пунктом 3 статьи 14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9.3. Продажа муниципального имущества без объявления цены.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9.3.1. Порядок организации приема заявок и предложений о цене приобретения имущества без объявления цены.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К заявке прилагаются документы по перечню, указанному в информационном сообщении.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Продавец осуществляет прием заявок в течение указанного в информационном сообщении срока.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Форма бланка заявки утверждается продавцом и приводится в информационном сообщении.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Претендент вправе подать только одно предложение о цене приобретения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Продавец отказывает претенденту в приеме заявки в случае, если: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заявка представлена по истечении срока приема заявок, указанного в информационном сообщении;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заявка оформлена с нарушением требований, установленных продавцом;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Указанный перечень оснований для отказа в приеме заявки является исчерпывающим.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9.3.2. Порядок подведения итогов продажи муниципального имущества без объявления цены.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Покупателем имущества признается: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Протокол об итогах продажи имущества должен содержать: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сведения об имуществе;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общее количество зарегистрированных заявок;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- сведения о рассмотренных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предложениях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о цене приобретения имущества с указанием подавших их претендентов;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сведения о покупателе имущества;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цену приобретения имущества, предложенную покупателем;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иные необходимые сведения.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6) Если в указанный в информационном сообщении срок для приема заявок ни одна заявка не была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зарегистрирована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9.3.3. Порядок заключения договора купли-продажи имущества без объявления цены.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1) Договор купли-продажи имущества заключается в течение 10 дней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 даты подведения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итогов продажи.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7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кодексом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Российской Федерации, Федеральным </w:t>
      </w:r>
      <w:hyperlink r:id="rId18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законом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9.3.4. Оплата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дств в р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азмере и сроки, указанные в договоре купли-продажи имущества или решении о рассрочке оплаты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9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закона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от 21.12.2001г. N178-ФЗ «О 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приватизации государственного и муниципального имущества» и настоящего Положения.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10. ОФОРМЛЕНИЕ СДЕЛОК КУПЛИ-ПРОДАЖИ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МУНИЦИПАЛЬНОГО ИМУЩЕСТВА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11. ПОРЯДОК ОПЛАТЫ МУНИЦИПАЛЬНОГО ИМУЩЕСТВА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11.1. Средства от приватизации муниципального имущества поступают на счет бюджета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11.2.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11.3. Вопросы, не урегулированные настоящим Положением, регламентируются Федеральным </w:t>
      </w:r>
      <w:hyperlink r:id="rId20" w:history="1">
        <w:r w:rsidRPr="00BA6AF9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законом</w:t>
        </w:r>
      </w:hyperlink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от 21.12.2001 N 178-ФЗ "О приватизации государственного и муниципального имущества".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:rsidR="00A45FA3" w:rsidRPr="001D7798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1D7798"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  <w:t>12. ОТЧЕТ О ВЫПОЛНЕНИИ ПРОГНОЗНОГО ПЛАНА</w:t>
      </w:r>
    </w:p>
    <w:p w:rsidR="00A45FA3" w:rsidRPr="001D7798" w:rsidRDefault="00A45FA3" w:rsidP="00A45FA3">
      <w:pPr>
        <w:shd w:val="clear" w:color="auto" w:fill="F8FAFB"/>
        <w:spacing w:after="0" w:line="240" w:lineRule="atLeast"/>
        <w:jc w:val="center"/>
        <w:textAlignment w:val="top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1D7798"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  <w:t>(ПРОГРАММЫ) ПРИВАТИЗАЦИИ</w:t>
      </w:r>
    </w:p>
    <w:p w:rsidR="00A45FA3" w:rsidRPr="001D7798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12.1. </w:t>
      </w:r>
      <w:proofErr w:type="gramStart"/>
      <w:r w:rsidRPr="001D7798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 xml:space="preserve">Администрация </w:t>
      </w:r>
      <w:proofErr w:type="spellStart"/>
      <w:r w:rsidRPr="001D779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 w:rsidRPr="001D779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 w:rsidRPr="001D779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1D7798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ежегодно</w:t>
      </w:r>
      <w:proofErr w:type="spellEnd"/>
      <w:r w:rsidRPr="001D7798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 xml:space="preserve"> не позднее 1 марта года, следующего за отчетным годом, представляет в Собрание депутатов </w:t>
      </w:r>
      <w:proofErr w:type="spellStart"/>
      <w:r w:rsidRPr="001D779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 w:rsidRPr="001D779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 w:rsidRPr="001D7798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1D7798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для</w:t>
      </w:r>
      <w:proofErr w:type="spellEnd"/>
      <w:r w:rsidRPr="001D7798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 xml:space="preserve">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</w:t>
      </w:r>
      <w:proofErr w:type="gramEnd"/>
      <w:r w:rsidRPr="001D7798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 xml:space="preserve"> изменений в Правила подготовки и принятия решений об условиях приватизации федерального имущества.</w:t>
      </w:r>
    </w:p>
    <w:p w:rsidR="00A45FA3" w:rsidRPr="00BA6AF9" w:rsidRDefault="00A45FA3" w:rsidP="00A45FA3">
      <w:pPr>
        <w:shd w:val="clear" w:color="auto" w:fill="F8FAFB"/>
        <w:spacing w:after="0" w:line="240" w:lineRule="atLeast"/>
        <w:jc w:val="both"/>
        <w:textAlignment w:val="top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12.2. </w:t>
      </w:r>
      <w:proofErr w:type="gramStart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Калмыкия</w:t>
      </w:r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порядке</w:t>
      </w:r>
      <w:proofErr w:type="spell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и размещению на официальном сайте, определенном Администрацией </w:t>
      </w:r>
      <w:proofErr w:type="spellStart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Харбинского</w:t>
      </w:r>
      <w:proofErr w:type="spellEnd"/>
      <w:r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  <w:bookmarkStart w:id="0" w:name="_GoBack"/>
      <w:bookmarkEnd w:id="0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, а также на официальном сайте Российской Федерации в сети "Интернет" для размещения информации о проведении торгов в соответствии с</w:t>
      </w:r>
      <w:proofErr w:type="gramEnd"/>
      <w:r w:rsidRPr="00BA6AF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Федеральным законом "О приватизации государственного и муниципального имущества", в течение 10 дней со дня его утверждения.</w:t>
      </w:r>
    </w:p>
    <w:p w:rsidR="00A45FA3" w:rsidRDefault="00A45FA3" w:rsidP="00A45FA3">
      <w:pPr>
        <w:spacing w:after="0" w:line="240" w:lineRule="atLeast"/>
        <w:jc w:val="both"/>
      </w:pPr>
    </w:p>
    <w:p w:rsidR="00A82627" w:rsidRDefault="00A82627"/>
    <w:sectPr w:rsidR="00A82627" w:rsidSect="0091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45FA3"/>
    <w:rsid w:val="00A45FA3"/>
    <w:rsid w:val="00A8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5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consultantplus://offline/main?base=LAW;n=120628;fld=134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7503</Words>
  <Characters>42768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1</cp:revision>
  <dcterms:created xsi:type="dcterms:W3CDTF">2024-12-05T07:05:00Z</dcterms:created>
  <dcterms:modified xsi:type="dcterms:W3CDTF">2024-12-05T07:06:00Z</dcterms:modified>
</cp:coreProperties>
</file>